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911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1109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Shanahan Patrick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Leidos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LDOS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RESTON</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20190</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05/08/2026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40" w:type="dxa"/>
            <w:vAlign w:val="bottom"/>
          </w:tcPr>
          <w:p>
            <w:pPr>
              <w:spacing w:after="0"/>
              <w:rPr>
                <w:sz w:val="22"/>
                <w:szCs w:val="22"/>
                <w:color w:val="auto"/>
              </w:rPr>
            </w:pPr>
          </w:p>
        </w:tc>
        <w:tc>
          <w:tcPr>
            <w:tcW w:w="58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9"/>
              </w:rPr>
              <w:t>1,067</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0000FF"/>
              </w:rPr>
              <w:t>5,762</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640" w:type="dxa"/>
            <w:vAlign w:val="bottom"/>
            <w:tcBorders>
              <w:bottom w:val="single" w:sz="8" w:color="2C2C2C"/>
            </w:tcBorders>
            <w:gridSpan w:val="4"/>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4"/>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3"/>
              </w:rPr>
              <w:t>Expiration 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131.26</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05/08/2026</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1,281</w:t>
            </w:r>
          </w:p>
        </w:tc>
        <w:tc>
          <w:tcPr>
            <w:tcW w:w="260" w:type="dxa"/>
            <w:vAlign w:val="bottom"/>
          </w:tcPr>
          <w:p>
            <w:pPr>
              <w:spacing w:after="0"/>
              <w:rPr>
                <w:sz w:val="17"/>
                <w:szCs w:val="17"/>
                <w:color w:val="auto"/>
              </w:rPr>
            </w:pPr>
          </w:p>
        </w:tc>
        <w:tc>
          <w:tcPr>
            <w:tcW w:w="92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3"/>
                <w:szCs w:val="13"/>
                <w:color w:val="0000FF"/>
              </w:rPr>
              <w:t>05/08/2027</w:t>
            </w:r>
            <w:r>
              <w:rPr>
                <w:rFonts w:ascii="Times New Roman" w:cs="Times New Roman" w:eastAsia="Times New Roman" w:hAnsi="Times New Roman"/>
                <w:sz w:val="21"/>
                <w:szCs w:val="21"/>
                <w:color w:val="008000"/>
                <w:vertAlign w:val="superscript"/>
              </w:rPr>
              <w:t>(1)</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05/07/2033</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1,281</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1,281</w:t>
            </w:r>
          </w:p>
        </w:tc>
        <w:tc>
          <w:tcPr>
            <w:tcW w:w="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ind w:left="12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shall vest and become exercisable in full on the earlier of (i) the first anniversary of the Grant Date, or (ii) the date that the next annual meeting of the stockholders of the Company is concluded.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Ramune M. Kligys by PoA</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of Patrick M. Shanahan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0946" TargetMode="External"/><Relationship Id="rId14" Type="http://schemas.openxmlformats.org/officeDocument/2006/relationships/hyperlink" Target="http://www.sec.gov/cgi-bin/browse-edgar?action=getcompany&amp;CIK=00013369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2026-05-12T07:55:55Z</dcterms:created>
  <dcterms:modified xsi:type="dcterms:W3CDTF">2026-05-12T07:55:55Z</dcterms:modified>
</cp:coreProperties>
</file>